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236"/>
        <w:tblW w:w="10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0"/>
      </w:tblGrid>
      <w:tr w:rsidR="00D23674" w:rsidRPr="00163D29" w:rsidTr="00AA7D54">
        <w:trPr>
          <w:trHeight w:val="13515"/>
        </w:trPr>
        <w:tc>
          <w:tcPr>
            <w:tcW w:w="10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3674" w:rsidRDefault="00D23674" w:rsidP="00AA7D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674" w:rsidRDefault="00D23674" w:rsidP="00AA7D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674" w:rsidRDefault="00D23674" w:rsidP="00AA7D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674" w:rsidRDefault="00D23674" w:rsidP="00AA7D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674" w:rsidRDefault="00D23674" w:rsidP="00AA7D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674" w:rsidRDefault="00D23674" w:rsidP="00AA7D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674" w:rsidRDefault="00D23674" w:rsidP="00AA7D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674" w:rsidRDefault="00D23674" w:rsidP="00AA7D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674" w:rsidRDefault="00D23674" w:rsidP="00AA7D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674" w:rsidRDefault="00D23674" w:rsidP="00D23674">
            <w:pPr>
              <w:pStyle w:val="Default"/>
              <w:spacing w:line="276" w:lineRule="auto"/>
              <w:rPr>
                <w:b/>
                <w:bCs/>
                <w:color w:val="000000" w:themeColor="text1"/>
                <w:sz w:val="28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23674" w:rsidRDefault="00D23674" w:rsidP="00AA7D54">
            <w:pPr>
              <w:pStyle w:val="Default"/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23674" w:rsidRDefault="00D23674" w:rsidP="00AA7D54">
            <w:pPr>
              <w:pStyle w:val="Default"/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23674" w:rsidRDefault="00D23674" w:rsidP="00AA7D54">
            <w:pPr>
              <w:pStyle w:val="Default"/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23674" w:rsidRDefault="00D23674" w:rsidP="00AA7D54">
            <w:pPr>
              <w:pStyle w:val="Default"/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23674" w:rsidRDefault="00D23674" w:rsidP="00AA7D54">
            <w:pPr>
              <w:pStyle w:val="Default"/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23674" w:rsidRDefault="00D23674" w:rsidP="00AA7D54">
            <w:pPr>
              <w:pStyle w:val="Default"/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23674" w:rsidRDefault="00D23674" w:rsidP="00AA7D54">
            <w:pPr>
              <w:pStyle w:val="Default"/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23674" w:rsidRPr="00901221" w:rsidRDefault="00D23674" w:rsidP="00AA7D54">
            <w:pPr>
              <w:pStyle w:val="Default"/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000000" w:themeColor="text1"/>
                <w:sz w:val="28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EK-3</w:t>
            </w:r>
            <w:r w:rsidRPr="00901221">
              <w:rPr>
                <w:b/>
                <w:bCs/>
                <w:color w:val="000000" w:themeColor="text1"/>
                <w:sz w:val="28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>
              <w:rPr>
                <w:b/>
                <w:bCs/>
                <w:color w:val="000000" w:themeColor="text1"/>
                <w:sz w:val="28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OKUL EYLEM PLANI</w:t>
            </w:r>
          </w:p>
          <w:p w:rsidR="00D23674" w:rsidRPr="00E909A2" w:rsidRDefault="00D23674" w:rsidP="00AA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Y="-161"/>
              <w:tblOverlap w:val="never"/>
              <w:tblW w:w="10500" w:type="dxa"/>
              <w:shd w:val="clear" w:color="auto" w:fill="A8D08D" w:themeFill="accent6" w:themeFillTint="99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1720"/>
              <w:gridCol w:w="5460"/>
              <w:gridCol w:w="1900"/>
              <w:gridCol w:w="1080"/>
            </w:tblGrid>
            <w:tr w:rsidR="00D23674" w:rsidRPr="00F07DD2" w:rsidTr="00AA7D54">
              <w:trPr>
                <w:trHeight w:val="570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lastRenderedPageBreak/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EYLEM KONULARI</w:t>
                  </w:r>
                </w:p>
              </w:tc>
              <w:tc>
                <w:tcPr>
                  <w:tcW w:w="5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AÇIKLAMA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SORUMLU BİRİM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TARİH</w:t>
                  </w:r>
                </w:p>
              </w:tc>
            </w:tr>
            <w:tr w:rsidR="00D23674" w:rsidRPr="00F07DD2" w:rsidTr="00AA7D54">
              <w:trPr>
                <w:trHeight w:val="133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İhtiyaç Duyulan Alanlarda Öğretmen Talep Edilmesi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Okul M</w:t>
                  </w:r>
                  <w:bookmarkStart w:id="0" w:name="_GoBack"/>
                  <w:bookmarkEnd w:id="0"/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üdürlüğü, proje faaliyetlerinin verimli bir şekilde yürütülmesi için ihtiyaç duyulan alanlardaki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b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ranş</w:t>
                  </w:r>
                  <w:proofErr w:type="gramEnd"/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ve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r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ehber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lik 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öğr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etmenlerin temin edilmesi için 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İl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/İlçe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Milli Eğitim Müdürlüğü'ne talepte bulunur.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Okul Müdürlüğü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Eylül</w:t>
                  </w:r>
                </w:p>
              </w:tc>
            </w:tr>
            <w:tr w:rsidR="00D23674" w:rsidRPr="00F07DD2" w:rsidTr="00AA7D54">
              <w:trPr>
                <w:trHeight w:val="15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2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Okul Ders Programlarının Öğrenci İhtiyaçlarına Göre Ayarlanması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Okulda ders programları hazırlanırken öğrenci başarısını olumsuz yönde etkileyecek durumlardan kaçınılarak programlar öğrenciyi yormayacak ve daha iyi öğrenme gerçekleşecek şekilde düzenlenecektir.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Okul Müdürlüğü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Eylül</w:t>
                  </w:r>
                </w:p>
              </w:tc>
            </w:tr>
            <w:tr w:rsidR="00D23674" w:rsidRPr="00F07DD2" w:rsidTr="00AA7D54">
              <w:trPr>
                <w:trHeight w:val="2325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8D08D" w:themeFill="accent6" w:themeFillTint="99"/>
                  <w:noWrap/>
                  <w:vAlign w:val="center"/>
                  <w:hideMark/>
                </w:tcPr>
                <w:p w:rsidR="00D23674" w:rsidRPr="00F07DD2" w:rsidRDefault="00D23674" w:rsidP="00AA7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3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Proje Okul Komisyonunun Oluşturulması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Default="00D23674" w:rsidP="00AA7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 xml:space="preserve">  </w:t>
                  </w:r>
                  <w:r w:rsidRPr="00F07D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 xml:space="preserve">Ortaokul Okul Komisyonu </w:t>
                  </w:r>
                </w:p>
                <w:p w:rsidR="00D23674" w:rsidRPr="00F07DD2" w:rsidRDefault="00D23674" w:rsidP="00AA7D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br/>
                    <w:t>* Okul Müdürü, Müdür Yardımcıları, Rehber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lik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Öğretmen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i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, 8. sınıfların sınıf rehber öğretmenleri ve 6 </w:t>
                  </w:r>
                  <w:proofErr w:type="gramStart"/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branş</w:t>
                  </w:r>
                  <w:proofErr w:type="gramEnd"/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öğretmeni (Türkçe, Matematik, Sosyal Bilimler, Fen Bilgisi, Din kültürü ve Ahlak Bilgisi, İngil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izce), 8.sınıflarda sınıf başkanı olan öğrenciler ve Okul-Aile Birliği Başkanından 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oluşan okul komisyonu oluşturur.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                             </w:t>
                  </w:r>
                </w:p>
              </w:tc>
              <w:tc>
                <w:tcPr>
                  <w:tcW w:w="1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Okul Müdürlüğü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Ekim</w:t>
                  </w:r>
                </w:p>
              </w:tc>
            </w:tr>
            <w:tr w:rsidR="00D23674" w:rsidRPr="00F07DD2" w:rsidTr="00AA7D54">
              <w:trPr>
                <w:trHeight w:val="232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Default="00D23674" w:rsidP="00AA7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r w:rsidRPr="00F07D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 xml:space="preserve"> Lise Okul Komisyonu</w:t>
                  </w:r>
                </w:p>
                <w:p w:rsidR="00D23674" w:rsidRPr="00F07DD2" w:rsidRDefault="00D23674" w:rsidP="00AA7D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br/>
                    <w:t>* Okul Müdürü, Müdür Yardımcıları, Rehber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lik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Öğretmen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i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, 12. sınıfların sınıf rehber öğretmenleri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ve 9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gramStart"/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branş</w:t>
                  </w:r>
                  <w:proofErr w:type="gramEnd"/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öğretmeni (Türk Dili ve Edebiyatı, Matematik, Tarih, Coğrafya, Felsefe, Fizik, Kimya, Biyoloji, İngilizce)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12.sınıflarda sınıf başkanı olan öğrenciler ve Okul-Aile Birliği Başkanından 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oluşan okul komisyonu oluşturur.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                             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                                                                                          </w:t>
                  </w:r>
                </w:p>
              </w:tc>
              <w:tc>
                <w:tcPr>
                  <w:tcW w:w="1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</w:tr>
            <w:tr w:rsidR="00D23674" w:rsidRPr="00F07DD2" w:rsidTr="00AA7D54">
              <w:trPr>
                <w:trHeight w:val="178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noWrap/>
                  <w:vAlign w:val="center"/>
                  <w:hideMark/>
                </w:tcPr>
                <w:p w:rsidR="00D23674" w:rsidRPr="00F07DD2" w:rsidRDefault="00D23674" w:rsidP="00AA7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Toplantılar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kul komisyonu her ay toplanarak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öğrencilerin dersler bazında başarısı, disiplini ve düzeni yönünde değerlendirmeler yapar. Başarısı düşen öğrencilerle ilgili aylık toplantıla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rda çözüm önerileri geliştirir ve 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öğrencilerin akademik başarılarının arttırılması ile ilgili kararlar alır. 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Okul Komisyonu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Default="00D23674" w:rsidP="00AA7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2022-2023 Eğitim 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Öğretim Yılı</w:t>
                  </w:r>
                </w:p>
                <w:p w:rsidR="00D23674" w:rsidRPr="00F07DD2" w:rsidRDefault="00D23674" w:rsidP="00AA7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Süresince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  </w:t>
                  </w:r>
                </w:p>
              </w:tc>
            </w:tr>
            <w:tr w:rsidR="00D23674" w:rsidRPr="00F07DD2" w:rsidTr="00AA7D54">
              <w:trPr>
                <w:trHeight w:val="1500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noWrap/>
                  <w:vAlign w:val="center"/>
                  <w:hideMark/>
                </w:tcPr>
                <w:p w:rsidR="00D23674" w:rsidRPr="00F07DD2" w:rsidRDefault="00D23674" w:rsidP="00AA7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Merkezi Sınav Sonuçlarının İncelenmesi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Okulun önceki yıla ait Merkezi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Sınav S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onuçlarını inceleyerek mevcut durumu analiz eder, okul başarısını düşüren faktörleri belirleyerek başarıyı arttırmaya yönelik önlemler alır ve bu yöndeki ihtiyaçlarını, bağlı olduğu üst kurumdan talep eder.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Okul Müdürlüğü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Ekim</w:t>
                  </w:r>
                </w:p>
              </w:tc>
            </w:tr>
            <w:tr w:rsidR="00D23674" w:rsidRPr="00F07DD2" w:rsidTr="00AA7D54">
              <w:trPr>
                <w:trHeight w:val="1200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noWrap/>
                  <w:vAlign w:val="center"/>
                  <w:hideMark/>
                </w:tcPr>
                <w:p w:rsidR="00D23674" w:rsidRPr="00F07DD2" w:rsidRDefault="00D23674" w:rsidP="00AA7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Destekleme ve Yetiştirme Kursları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Destekleme ve Yetiştirme Kurslarını, akademik başarıyı arttırma odaklı düzenleyerek tüm </w:t>
                  </w:r>
                  <w:proofErr w:type="gramStart"/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branşlar</w:t>
                  </w:r>
                  <w:proofErr w:type="gramEnd"/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bazında öğrenciye verimli olacak gün ve saatlere uygun bir şekilde planlar.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Okul Müdürlüğü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Eylül-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Ekim</w:t>
                  </w:r>
                </w:p>
              </w:tc>
            </w:tr>
          </w:tbl>
          <w:p w:rsidR="00D23674" w:rsidRDefault="00D23674" w:rsidP="00AA7D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674" w:rsidRPr="00163D29" w:rsidTr="00AA7D54">
        <w:trPr>
          <w:trHeight w:hRule="exact" w:val="19451"/>
        </w:trPr>
        <w:tc>
          <w:tcPr>
            <w:tcW w:w="10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pPr w:leftFromText="141" w:rightFromText="141" w:vertAnchor="page" w:horzAnchor="margin" w:tblpY="1291"/>
              <w:tblOverlap w:val="never"/>
              <w:tblW w:w="10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1729"/>
              <w:gridCol w:w="5212"/>
              <w:gridCol w:w="1925"/>
              <w:gridCol w:w="1072"/>
            </w:tblGrid>
            <w:tr w:rsidR="00D23674" w:rsidRPr="00F07DD2" w:rsidTr="00AA7D54">
              <w:trPr>
                <w:trHeight w:val="57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lastRenderedPageBreak/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EYLEM KONULARI</w:t>
                  </w:r>
                </w:p>
              </w:tc>
              <w:tc>
                <w:tcPr>
                  <w:tcW w:w="5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AÇIKLAMA</w:t>
                  </w: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SORUMLU BİRİM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TARİH</w:t>
                  </w:r>
                </w:p>
              </w:tc>
            </w:tr>
            <w:tr w:rsidR="00D23674" w:rsidRPr="00F07DD2" w:rsidTr="00AA7D5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8D08D" w:themeFill="accent6" w:themeFillTint="99"/>
                  <w:noWrap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7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Sosyal Kulüp ve Ortamların Hazırlanması</w:t>
                  </w:r>
                </w:p>
              </w:tc>
              <w:tc>
                <w:tcPr>
                  <w:tcW w:w="5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İl ve ülke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genelinde düzenlenen yarışmalara/olimpiyatlara öğrenci yetiştirmek amacıyla Okul Müdürlüğü ve ilgili zümre öğretmenleri başkanlığında sosyal kulüpler kurar ya da uygun fırsat ve ortamlar hazırlayarak çalışmaların yapılmasını sağlar.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Okul Komisyonu ve İlgili Zümre Öğretmenler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Eylül-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Ekim-Kasım</w:t>
                  </w:r>
                </w:p>
              </w:tc>
            </w:tr>
            <w:tr w:rsidR="00D23674" w:rsidRPr="00F07DD2" w:rsidTr="00AA7D54">
              <w:trPr>
                <w:trHeight w:val="183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8D08D" w:themeFill="accent6" w:themeFillTint="99"/>
                  <w:noWrap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8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İzleme ve Değerlendirme Sınavlarının Uygulanması ve Değerlendirilmesi</w:t>
                  </w:r>
                </w:p>
              </w:tc>
              <w:tc>
                <w:tcPr>
                  <w:tcW w:w="5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İzleme ve değerlendirme sınavlarını sınav takviminde belirtilen tarih ve saatte uygular.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Proje 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İzleme ve Değerlendirme Ekibi tarafından gönderilen sınav sonuçlarını bir önceki yapılan sınav sonuçlarıyla karşılaştırır; gerek ders ortamında gerekse Destekleme ve Yetiştirme Kurs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larında 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öğrencilerin konu eksiklerinin giderilmesini sağlar.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Okul Komisyonu ve İlgili Zümre Öğretmenler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2022-2023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Eğitim 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Öğretim Yılı</w:t>
                  </w:r>
                </w:p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Süresince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  </w:t>
                  </w:r>
                </w:p>
              </w:tc>
            </w:tr>
            <w:tr w:rsidR="00D23674" w:rsidRPr="00F07DD2" w:rsidTr="00AA7D54">
              <w:trPr>
                <w:trHeight w:val="450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8D08D" w:themeFill="accent6" w:themeFillTint="99"/>
                  <w:noWrap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9</w:t>
                  </w:r>
                </w:p>
              </w:tc>
              <w:tc>
                <w:tcPr>
                  <w:tcW w:w="15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Başarının Artırılması</w:t>
                  </w:r>
                </w:p>
              </w:tc>
              <w:tc>
                <w:tcPr>
                  <w:tcW w:w="54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İzleme ve değerlendirme sınavları değerlendirilerek 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öğrenci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lerin izleme ve takibinin yapılması. Bu değerlendirmeler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sonucunda okul komisyonu öğrencilerin eksikliklerini gidermeye yönelik bireysel olarak görüşmeler yapar ve çalışma planları oluşturur. </w:t>
                  </w:r>
                </w:p>
              </w:tc>
              <w:tc>
                <w:tcPr>
                  <w:tcW w:w="19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 Okul Komisyonu</w:t>
                  </w:r>
                </w:p>
              </w:tc>
              <w:tc>
                <w:tcPr>
                  <w:tcW w:w="10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Ekim-Kasım</w:t>
                  </w:r>
                </w:p>
              </w:tc>
            </w:tr>
            <w:tr w:rsidR="00D23674" w:rsidRPr="00F07DD2" w:rsidTr="00AA7D54">
              <w:trPr>
                <w:trHeight w:val="1515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54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0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</w:tr>
            <w:tr w:rsidR="00D23674" w:rsidRPr="00F07DD2" w:rsidTr="00AA7D54">
              <w:trPr>
                <w:trHeight w:val="840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5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5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Okullarda uygun bir alanda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öğrenciler için 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soru çözme köşeleri oluşturur veya uygun bir alanda soru çözme çalışmaları sürdürülür.</w:t>
                  </w: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0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</w:tr>
            <w:tr w:rsidR="00D23674" w:rsidRPr="00F07DD2" w:rsidTr="00AA7D54">
              <w:trPr>
                <w:trHeight w:val="157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noWrap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10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Yönetici, Öğretmen ve Öğrencilerin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Gelişimi</w:t>
                  </w:r>
                </w:p>
              </w:tc>
              <w:tc>
                <w:tcPr>
                  <w:tcW w:w="5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Öğretmenler ve okul yönetimi; ihtiyaç duyulan alanlarda İl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/İlçe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Milli Eğitim Müdürlüğüne hizmet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içi eğitim, seminer ve kursların düzenlenmesi için talepte b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ulunur. Eğitimlerin yapılması için 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farklı kurum ve kurulu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şlarla iş birliği yapar.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Okul Müdürlüğü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2022-2023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Eğitim 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Öğretim Yılı</w:t>
                  </w:r>
                </w:p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Süresince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  </w:t>
                  </w:r>
                </w:p>
              </w:tc>
            </w:tr>
            <w:tr w:rsidR="00D23674" w:rsidRPr="00F07DD2" w:rsidTr="00AA7D54">
              <w:trPr>
                <w:trHeight w:val="4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noWrap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11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Akademik Danışman Öğretmen</w:t>
                  </w:r>
                </w:p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Uygulaması</w:t>
                  </w:r>
                </w:p>
              </w:tc>
              <w:tc>
                <w:tcPr>
                  <w:tcW w:w="5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Ortaokul ve lise</w:t>
                  </w:r>
                  <w:r w:rsidRPr="00F07D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son sınıf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öğrencilerine ders başarılarını arttırabilmeleri, paylaşıma açık olabilmeleri, okul-aile-öğrenci iletişiminin arttırılabilmesi amacıyla derslerine giren öğretmenlerden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akademik 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danışman öğretmenler belirlenir.</w:t>
                  </w:r>
                </w:p>
                <w:p w:rsidR="00D23674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Bu yöntemde gruplama sistemiyle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öğretmenlere sorumlu olacağı öğrenci grupları verile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rek öğrenci takibi ve izlemesi 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kontrollü bir biçimde yapılır. </w:t>
                  </w:r>
                </w:p>
                <w:p w:rsidR="00D23674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(10 öğrenci grubuna bir sorumlu öğretmen verilerek yıl boyu öğrenci grubunun izleme, takip ve değerlendirmesinin öğretmen tarafından yapılması). 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Rehber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lik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ğretmeni Koordinatörlüğünde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br/>
                    <w:t>Şube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Rehber Öğretmenleri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2022-2023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Eğitim 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Öğretim Yılı</w:t>
                  </w:r>
                </w:p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Süresince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  </w:t>
                  </w:r>
                </w:p>
              </w:tc>
            </w:tr>
          </w:tbl>
          <w:p w:rsidR="00D23674" w:rsidRDefault="00D23674" w:rsidP="00AA7D54">
            <w:pPr>
              <w:shd w:val="clear" w:color="auto" w:fill="A8D08D" w:themeFill="accent6" w:themeFillTint="9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674" w:rsidRPr="00163D29" w:rsidTr="00AA7D54">
        <w:trPr>
          <w:trHeight w:val="750"/>
        </w:trPr>
        <w:tc>
          <w:tcPr>
            <w:tcW w:w="10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pPr w:leftFromText="141" w:rightFromText="141" w:vertAnchor="page" w:horzAnchor="margin" w:tblpY="31"/>
              <w:tblOverlap w:val="never"/>
              <w:tblW w:w="10500" w:type="dxa"/>
              <w:shd w:val="clear" w:color="auto" w:fill="A8D08D" w:themeFill="accent6" w:themeFillTint="99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1708"/>
              <w:gridCol w:w="5298"/>
              <w:gridCol w:w="2059"/>
              <w:gridCol w:w="1075"/>
            </w:tblGrid>
            <w:tr w:rsidR="00D23674" w:rsidRPr="00F07DD2" w:rsidTr="00AA7D54">
              <w:trPr>
                <w:trHeight w:val="54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lastRenderedPageBreak/>
                    <w:t> 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EYLEM KONULARI</w:t>
                  </w:r>
                </w:p>
              </w:tc>
              <w:tc>
                <w:tcPr>
                  <w:tcW w:w="5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AÇIKLAMA</w:t>
                  </w: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SORUMLU BİRİM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TARİH</w:t>
                  </w:r>
                </w:p>
              </w:tc>
            </w:tr>
            <w:tr w:rsidR="00D23674" w:rsidRPr="00F07DD2" w:rsidTr="00AA7D54">
              <w:trPr>
                <w:trHeight w:val="76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8D08D" w:themeFill="accent6" w:themeFillTint="99"/>
                  <w:noWrap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12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Okul-Veli İşbirliğinin Artırılması</w:t>
                  </w:r>
                </w:p>
              </w:tc>
              <w:tc>
                <w:tcPr>
                  <w:tcW w:w="5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A52B1A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Öğrencilerin akademik başarısı için veliler okula davet edilerek okul-veli iş birliğinin güçlendirilmesi sağlanır. Okul rehberlik servisi aracılığıyla veli bilgilendirme toplantıları düzenlenir.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Okul Komisyonu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2022-2023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Eğitim 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Öğretim Yılı</w:t>
                  </w:r>
                </w:p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Süresince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   </w:t>
                  </w:r>
                </w:p>
              </w:tc>
            </w:tr>
            <w:tr w:rsidR="00D23674" w:rsidRPr="00F07DD2" w:rsidTr="00AA7D54">
              <w:trPr>
                <w:trHeight w:val="1515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13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Öğrencilere Etkili ve Verimli Çalışma Alışkanlığı Kazandır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ıl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sı</w:t>
                  </w:r>
                </w:p>
              </w:tc>
              <w:tc>
                <w:tcPr>
                  <w:tcW w:w="529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Ortaokul ve lise son sınıf öğrencile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r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ine yönelik kişiye özel uygulanabi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l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ir ders çalışma programları hazırlanır. 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Rehberlik Servisi/ Danışman Öğretmenler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2022-2023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Eğitim 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Öğretim Yılı</w:t>
                  </w:r>
                </w:p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Süresince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   </w:t>
                  </w:r>
                </w:p>
              </w:tc>
            </w:tr>
            <w:tr w:rsidR="00D23674" w:rsidRPr="00F07DD2" w:rsidTr="00AA7D54">
              <w:trPr>
                <w:trHeight w:val="1440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noWrap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14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Motivasyonun Arttırılması ve Kaygının Azaltılması</w:t>
                  </w:r>
                </w:p>
              </w:tc>
              <w:tc>
                <w:tcPr>
                  <w:tcW w:w="5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Öğrencilere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yönelik olarak ders çalışma alışkanlığı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kazandırmak, öğrencilerin </w:t>
                  </w:r>
                  <w:proofErr w:type="gramStart"/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motivasyonunu</w:t>
                  </w:r>
                  <w:proofErr w:type="gramEnd"/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arttırmak, sınav kaygısını ve teknoloji bağımlılığını azaltmak için bilgilendirme top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lantıları ve seminerler düzenlenir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. Bu seminerler, öz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ellikle son sınıf öğrencilerine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düzenli aralıklarla uygulanır.</w:t>
                  </w:r>
                </w:p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Okul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Müdürlüğü    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Rehberlik</w:t>
                  </w:r>
                  <w:proofErr w:type="gramEnd"/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br/>
                    <w:t>Servisi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2022-2023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Eğitim 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Öğretim Yılı</w:t>
                  </w:r>
                </w:p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Süresince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   </w:t>
                  </w:r>
                </w:p>
              </w:tc>
            </w:tr>
            <w:tr w:rsidR="00D23674" w:rsidRPr="00F07DD2" w:rsidTr="00AA7D54">
              <w:trPr>
                <w:trHeight w:val="172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noWrap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15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Gezi ve Ziyaretler</w:t>
                  </w:r>
                </w:p>
              </w:tc>
              <w:tc>
                <w:tcPr>
                  <w:tcW w:w="5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Ortaokul ve lise son sınıf 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öğrencilerinin ilgi ve yeteneklerine göre bir üst öğretim kurumlarını seçebil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meleri için lise/üniversitelere veya mesleki k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uruluşlara ziyaretler düzenlenir.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Okul Müdürlüğü Başkanlığında R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ehber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lik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Öğretmen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i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Akademik Danışman 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Öğretmen/Şube Sınıf Öğretmeni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2022-2023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Eğitim 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Öğretim Yılı</w:t>
                  </w:r>
                </w:p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Süresince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   </w:t>
                  </w:r>
                </w:p>
              </w:tc>
            </w:tr>
            <w:tr w:rsidR="00D23674" w:rsidRPr="00F07DD2" w:rsidTr="00AA7D54">
              <w:trPr>
                <w:trHeight w:val="79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noWrap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16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Projenin Raporlanması</w:t>
                  </w:r>
                </w:p>
              </w:tc>
              <w:tc>
                <w:tcPr>
                  <w:tcW w:w="5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  <w:p w:rsidR="00D23674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Projeye ait yapılan çalışmalar ve projenin d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eğerlendirilmesi ile ilgili yılsonunda</w:t>
                  </w: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İl/İlçe Proje Yürütme Kuruluna rapor sunar.</w:t>
                  </w:r>
                </w:p>
                <w:p w:rsidR="00D23674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F07DD2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Okul Müdürlüğü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  <w:hideMark/>
                </w:tcPr>
                <w:p w:rsidR="00D23674" w:rsidRPr="00F07DD2" w:rsidRDefault="00D23674" w:rsidP="00AA7D54">
                  <w:pPr>
                    <w:shd w:val="clear" w:color="auto" w:fill="A8D08D" w:themeFill="accent6" w:themeFillTint="9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Ağustos</w:t>
                  </w:r>
                </w:p>
              </w:tc>
            </w:tr>
          </w:tbl>
          <w:p w:rsidR="00D23674" w:rsidRPr="00F727E5" w:rsidRDefault="00D23674" w:rsidP="00AA7D54">
            <w:pPr>
              <w:shd w:val="clear" w:color="auto" w:fill="A8D08D" w:themeFill="accent6" w:themeFillTin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674" w:rsidRDefault="00D23674" w:rsidP="00D23674">
      <w:pPr>
        <w:pStyle w:val="Default"/>
        <w:spacing w:line="276" w:lineRule="auto"/>
        <w:rPr>
          <w:b/>
          <w:bCs/>
          <w:color w:val="auto"/>
        </w:rPr>
      </w:pPr>
    </w:p>
    <w:p w:rsidR="00D23674" w:rsidRDefault="00D23674" w:rsidP="00D23674">
      <w:pPr>
        <w:pStyle w:val="Default"/>
        <w:spacing w:line="276" w:lineRule="auto"/>
        <w:rPr>
          <w:b/>
          <w:bCs/>
          <w:color w:val="auto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7701E" wp14:editId="60350477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6105525" cy="1828800"/>
                <wp:effectExtent l="0" t="0" r="0" b="7620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3674" w:rsidRPr="00901221" w:rsidRDefault="00D23674" w:rsidP="00D23674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7701E" id="_x0000_t202" coordsize="21600,21600" o:spt="202" path="m,l,21600r21600,l21600,xe">
                <v:stroke joinstyle="miter"/>
                <v:path gradientshapeok="t" o:connecttype="rect"/>
              </v:shapetype>
              <v:shape id="Metin Kutusu 21" o:spid="_x0000_s1026" type="#_x0000_t202" style="position:absolute;margin-left:429.55pt;margin-top:11.95pt;width:480.75pt;height:2in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" filled="f" stroked="f">
                <v:textbox style="mso-fit-shape-to-text:t">
                  <w:txbxContent>
                    <w:p w:rsidR="00D23674" w:rsidRPr="00901221" w:rsidRDefault="00D23674" w:rsidP="00D23674">
                      <w:pPr>
                        <w:pStyle w:val="Default"/>
                        <w:spacing w:line="276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3674" w:rsidRDefault="00D23674" w:rsidP="00D23674">
      <w:pPr>
        <w:pStyle w:val="Default"/>
        <w:spacing w:line="276" w:lineRule="auto"/>
        <w:rPr>
          <w:b/>
          <w:bCs/>
          <w:color w:val="auto"/>
        </w:rPr>
      </w:pPr>
    </w:p>
    <w:p w:rsidR="00D23674" w:rsidRDefault="00D23674" w:rsidP="00D23674">
      <w:pPr>
        <w:pStyle w:val="Default"/>
        <w:spacing w:line="276" w:lineRule="auto"/>
        <w:rPr>
          <w:b/>
          <w:bCs/>
          <w:color w:val="auto"/>
        </w:rPr>
      </w:pPr>
    </w:p>
    <w:p w:rsidR="00D23674" w:rsidRDefault="00D23674" w:rsidP="00D23674">
      <w:pPr>
        <w:pStyle w:val="Default"/>
        <w:spacing w:line="276" w:lineRule="auto"/>
        <w:rPr>
          <w:noProof/>
          <w:lang w:eastAsia="tr-TR"/>
        </w:rPr>
      </w:pPr>
    </w:p>
    <w:p w:rsidR="00D23674" w:rsidRDefault="00D23674" w:rsidP="00D23674">
      <w:pPr>
        <w:pStyle w:val="Default"/>
        <w:spacing w:line="276" w:lineRule="auto"/>
        <w:rPr>
          <w:noProof/>
          <w:lang w:eastAsia="tr-TR"/>
        </w:rPr>
      </w:pPr>
    </w:p>
    <w:p w:rsidR="00D23674" w:rsidRDefault="00D23674" w:rsidP="00D23674">
      <w:pPr>
        <w:pStyle w:val="Default"/>
        <w:spacing w:line="276" w:lineRule="auto"/>
        <w:rPr>
          <w:noProof/>
          <w:lang w:eastAsia="tr-TR"/>
        </w:rPr>
      </w:pPr>
    </w:p>
    <w:p w:rsidR="00D23674" w:rsidRDefault="00D23674" w:rsidP="00D23674">
      <w:pPr>
        <w:pStyle w:val="Default"/>
        <w:spacing w:line="276" w:lineRule="auto"/>
        <w:rPr>
          <w:noProof/>
          <w:lang w:eastAsia="tr-TR"/>
        </w:rPr>
      </w:pPr>
    </w:p>
    <w:p w:rsidR="00D23674" w:rsidRDefault="00D23674" w:rsidP="00D23674">
      <w:pPr>
        <w:pStyle w:val="Default"/>
        <w:spacing w:line="276" w:lineRule="auto"/>
        <w:rPr>
          <w:noProof/>
          <w:lang w:eastAsia="tr-TR"/>
        </w:rPr>
      </w:pPr>
    </w:p>
    <w:p w:rsidR="00D23674" w:rsidRDefault="00D23674" w:rsidP="00D23674">
      <w:pPr>
        <w:pStyle w:val="Default"/>
        <w:spacing w:line="276" w:lineRule="auto"/>
        <w:rPr>
          <w:noProof/>
          <w:lang w:eastAsia="tr-TR"/>
        </w:rPr>
      </w:pPr>
    </w:p>
    <w:p w:rsidR="00D23674" w:rsidRDefault="00D23674" w:rsidP="00D23674">
      <w:pPr>
        <w:pStyle w:val="Default"/>
        <w:spacing w:line="276" w:lineRule="auto"/>
        <w:rPr>
          <w:noProof/>
          <w:lang w:eastAsia="tr-TR"/>
        </w:rPr>
      </w:pPr>
    </w:p>
    <w:p w:rsidR="00D23674" w:rsidRDefault="00D23674" w:rsidP="00D23674">
      <w:pPr>
        <w:pStyle w:val="Default"/>
        <w:spacing w:line="276" w:lineRule="auto"/>
        <w:rPr>
          <w:noProof/>
          <w:lang w:eastAsia="tr-TR"/>
        </w:rPr>
      </w:pPr>
    </w:p>
    <w:p w:rsidR="00D23674" w:rsidRDefault="00D23674" w:rsidP="00D23674">
      <w:pPr>
        <w:pStyle w:val="Default"/>
        <w:spacing w:line="276" w:lineRule="auto"/>
        <w:rPr>
          <w:noProof/>
          <w:lang w:eastAsia="tr-TR"/>
        </w:rPr>
      </w:pPr>
    </w:p>
    <w:p w:rsidR="00D23674" w:rsidRDefault="00D23674" w:rsidP="00D23674">
      <w:pPr>
        <w:pStyle w:val="Default"/>
        <w:spacing w:line="276" w:lineRule="auto"/>
        <w:rPr>
          <w:noProof/>
          <w:lang w:eastAsia="tr-TR"/>
        </w:rPr>
      </w:pPr>
    </w:p>
    <w:p w:rsidR="00D23674" w:rsidRDefault="00D23674" w:rsidP="00D23674">
      <w:pPr>
        <w:pStyle w:val="Default"/>
        <w:spacing w:line="276" w:lineRule="auto"/>
        <w:rPr>
          <w:noProof/>
          <w:lang w:eastAsia="tr-TR"/>
        </w:rPr>
      </w:pPr>
    </w:p>
    <w:p w:rsidR="00D23674" w:rsidRDefault="00D23674" w:rsidP="00D23674">
      <w:pPr>
        <w:pStyle w:val="Default"/>
        <w:spacing w:line="276" w:lineRule="auto"/>
        <w:rPr>
          <w:noProof/>
          <w:lang w:eastAsia="tr-TR"/>
        </w:rPr>
      </w:pPr>
    </w:p>
    <w:p w:rsidR="00D23674" w:rsidRDefault="00D23674" w:rsidP="00D23674">
      <w:pPr>
        <w:pStyle w:val="Default"/>
        <w:spacing w:line="276" w:lineRule="auto"/>
        <w:rPr>
          <w:noProof/>
          <w:lang w:eastAsia="tr-TR"/>
        </w:rPr>
      </w:pPr>
    </w:p>
    <w:sectPr w:rsidR="00D23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40"/>
    <w:rsid w:val="00461728"/>
    <w:rsid w:val="00D23674"/>
    <w:rsid w:val="00F8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A3F50-A8AE-461B-9612-80F97A91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6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3674"/>
    <w:pPr>
      <w:ind w:left="720"/>
      <w:contextualSpacing/>
    </w:pPr>
  </w:style>
  <w:style w:type="paragraph" w:customStyle="1" w:styleId="Default">
    <w:name w:val="Default"/>
    <w:rsid w:val="00D236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986</Words>
  <Characters>5626</Characters>
  <Application>Microsoft Office Word</Application>
  <DocSecurity>0</DocSecurity>
  <Lines>46</Lines>
  <Paragraphs>13</Paragraphs>
  <ScaleCrop>false</ScaleCrop>
  <Company>User</Company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M.AkifDUMAN</dc:creator>
  <cp:keywords/>
  <dc:description/>
  <cp:lastModifiedBy>M.AkifDUMAN</cp:lastModifiedBy>
  <cp:revision>2</cp:revision>
  <dcterms:created xsi:type="dcterms:W3CDTF">2022-12-12T07:44:00Z</dcterms:created>
  <dcterms:modified xsi:type="dcterms:W3CDTF">2022-12-12T07:49:00Z</dcterms:modified>
</cp:coreProperties>
</file>